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Florjan Koko</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Hot-and-cold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García Guirado</w:t>
            </w:r>
            <w:r>
              <w:rPr>
                <w:rFonts w:ascii="Arial" w:hAnsi="Arial" w:cs="Arial"/>
                <w:sz w:val="20"/>
                <w:szCs w:val="20"/>
              </w:rPr>
              <w:t xml:space="preserve">  ,</w:t>
            </w:r>
            <w:r w:rsidRPr="00D456BD">
              <w:rPr>
                <w:rFonts w:ascii="Arial" w:hAnsi="Arial" w:cs="Arial"/>
                <w:sz w:val="20"/>
                <w:szCs w:val="20"/>
              </w:rPr>
              <w:t xml:space="preserve"> C/ Santo Domingo Savio 15 23400 Úbeda (Spain)</w:t>
            </w:r>
          </w:p>
          <w:p w:rsidR="005B4A42"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Joaquin  </w:t>
            </w:r>
            <w:r w:rsidRPr="00D456BD">
              <w:rPr>
                <w:rFonts w:ascii="Arial" w:hAnsi="Arial" w:cs="Arial"/>
                <w:sz w:val="20"/>
                <w:szCs w:val="20"/>
                <w:lang w:val="en-US"/>
              </w:rPr>
              <w:t>García Guirado</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director</w:t>
            </w:r>
            <w:r>
              <w:rPr>
                <w:rFonts w:ascii="Arial" w:hAnsi="Arial" w:cs="Arial"/>
                <w:sz w:val="20"/>
                <w:szCs w:val="20"/>
              </w:rPr>
              <w:t xml:space="preserve"> ,</w:t>
            </w:r>
            <w:r w:rsidRPr="00D456BD">
              <w:rPr>
                <w:rFonts w:ascii="Arial" w:hAnsi="Arial" w:cs="Arial"/>
                <w:sz w:val="20"/>
                <w:szCs w:val="20"/>
              </w:rPr>
              <w:t xml:space="preserve"> </w:t>
            </w:r>
          </w:p>
          <w:p w:rsidR="005B4A42" w:rsidRPr="003F6E7A" w:rsidRDefault="005B4A42" w:rsidP="00F629A1">
            <w:pPr>
              <w:spacing w:after="120"/>
              <w:rPr>
                <w:rFonts w:ascii="Arial" w:hAnsi="Arial" w:cs="Arial"/>
                <w:sz w:val="20"/>
                <w:szCs w:val="20"/>
              </w:rPr>
            </w:pPr>
            <w:r>
              <w:rPr>
                <w:rFonts w:ascii="Arial" w:hAnsi="Arial" w:cs="Arial"/>
                <w:sz w:val="20"/>
                <w:szCs w:val="20"/>
              </w:rPr>
              <w:t xml:space="preserve"> ,</w:t>
            </w:r>
            <w:r w:rsidRPr="00D456BD">
              <w:rPr>
                <w:rFonts w:ascii="Arial" w:hAnsi="Arial" w:cs="Arial"/>
                <w:sz w:val="20"/>
                <w:szCs w:val="20"/>
              </w:rPr>
              <w:t xml:space="preserve"> 669776755</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1D5727" w:rsidRDefault="005B4A42" w:rsidP="001D5727">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heating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1D5727">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1D5727">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1D5727">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1D5727" w:rsidRDefault="005B4A42" w:rsidP="001D5727">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1D5727"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Checking the condition and the status of heating,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Installing high performance boilers such as condensing boilers, biomass boilers, air-water heat pump that exchanges</w:t>
            </w:r>
            <w:r w:rsidR="001D5727">
              <w:rPr>
                <w:rFonts w:ascii="Arial" w:hAnsi="Arial" w:cs="Arial"/>
                <w:sz w:val="20"/>
                <w:szCs w:val="20"/>
                <w:lang w:val="en-US"/>
              </w:rPr>
              <w:t xml:space="preserve">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1D5727">
              <w:rPr>
                <w:rFonts w:ascii="Arial" w:hAnsi="Arial" w:cs="Arial"/>
                <w:sz w:val="20"/>
                <w:szCs w:val="20"/>
                <w:lang w:val="en-US"/>
              </w:rPr>
              <w:t>Florjan Koko)</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1D5727">
        <w:rPr>
          <w:rFonts w:ascii="Arial" w:hAnsi="Arial" w:cs="Arial"/>
          <w:sz w:val="20"/>
          <w:szCs w:val="20"/>
          <w:lang w:val="en-US"/>
        </w:rPr>
        <w:t>Florjan Koko)</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98" w:rsidRDefault="00617298" w:rsidP="004C4625">
      <w:pPr>
        <w:spacing w:after="0" w:line="240" w:lineRule="auto"/>
      </w:pPr>
      <w:r>
        <w:separator/>
      </w:r>
    </w:p>
  </w:endnote>
  <w:endnote w:type="continuationSeparator" w:id="1">
    <w:p w:rsidR="00617298" w:rsidRDefault="00617298"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98" w:rsidRDefault="00617298" w:rsidP="004C4625">
      <w:pPr>
        <w:spacing w:after="0" w:line="240" w:lineRule="auto"/>
      </w:pPr>
      <w:r>
        <w:separator/>
      </w:r>
    </w:p>
  </w:footnote>
  <w:footnote w:type="continuationSeparator" w:id="1">
    <w:p w:rsidR="00617298" w:rsidRDefault="00617298"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337"/>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5727"/>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17298"/>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2507</Words>
  <Characters>13794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2016-12-09T09:32:00Z</dcterms:created>
  <dcterms:modified xsi:type="dcterms:W3CDTF">2016-12-09T09:32:00Z</dcterms:modified>
</cp:coreProperties>
</file>